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E7D" w:rsidRPr="00CA6900" w:rsidRDefault="00E15E7D" w:rsidP="00E15E7D">
      <w:pPr>
        <w:keepNext/>
        <w:spacing w:after="0" w:line="240" w:lineRule="auto"/>
        <w:ind w:left="4320" w:right="42" w:firstLine="720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ANEXA NR. 1</w:t>
      </w:r>
    </w:p>
    <w:p w:rsidR="00E15E7D" w:rsidRPr="00CA6900" w:rsidRDefault="00573AEB" w:rsidP="00E15E7D">
      <w:pPr>
        <w:spacing w:after="0" w:line="240" w:lineRule="auto"/>
        <w:ind w:left="2880" w:right="42" w:firstLine="720"/>
        <w:jc w:val="right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la</w:t>
      </w:r>
      <w:r w:rsidR="00D872C8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Proiectul</w:t>
      </w:r>
      <w:r w:rsidR="00C73EC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de  Hotărârea nr. 41/06.11.2025</w:t>
      </w:r>
      <w:r w:rsidR="00FA1113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</w:t>
      </w:r>
      <w:r w:rsidR="00E15E7D" w:rsidRPr="00CA6900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a Consiliului local al comunei Milaș</w:t>
      </w:r>
    </w:p>
    <w:p w:rsidR="00E15E7D" w:rsidRPr="00CA6900" w:rsidRDefault="00E15E7D" w:rsidP="00E15E7D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E15E7D" w:rsidRPr="00CA6900" w:rsidRDefault="00E15E7D" w:rsidP="00E15E7D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VALORILE IMPOZABILE</w:t>
      </w:r>
    </w:p>
    <w:p w:rsidR="00E15E7D" w:rsidRPr="00CA6900" w:rsidRDefault="00E15E7D" w:rsidP="00E15E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pe metru pătrat  de </w:t>
      </w:r>
      <w:proofErr w:type="spellStart"/>
      <w:r w:rsidRPr="00CA6900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suprafaţă</w:t>
      </w:r>
      <w:proofErr w:type="spellEnd"/>
      <w:r w:rsidRPr="00CA6900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construită </w:t>
      </w:r>
      <w:proofErr w:type="spellStart"/>
      <w:r w:rsidRPr="00CA6900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desfăşurată</w:t>
      </w:r>
      <w:proofErr w:type="spellEnd"/>
      <w:r w:rsidRPr="00CA6900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*  la clădiri, în cazul persoanelor fizice</w:t>
      </w:r>
    </w:p>
    <w:p w:rsidR="00E15E7D" w:rsidRPr="00CA6900" w:rsidRDefault="00E15E7D" w:rsidP="00E15E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021"/>
        <w:gridCol w:w="3940"/>
        <w:gridCol w:w="1559"/>
        <w:gridCol w:w="1560"/>
        <w:gridCol w:w="1560"/>
      </w:tblGrid>
      <w:tr w:rsidR="00E15E7D" w:rsidRPr="00CA6900" w:rsidTr="00FB10A0">
        <w:trPr>
          <w:cantSplit/>
        </w:trPr>
        <w:tc>
          <w:tcPr>
            <w:tcW w:w="5387" w:type="dxa"/>
            <w:vMerge w:val="restart"/>
            <w:tcBorders>
              <w:right w:val="nil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5E7D" w:rsidRPr="00CA6900" w:rsidRDefault="00E15E7D" w:rsidP="00E83A18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5E7D" w:rsidRPr="00CA6900" w:rsidRDefault="00E15E7D" w:rsidP="00E83A18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                                                    Tipul clădirii***</w:t>
            </w:r>
          </w:p>
        </w:tc>
        <w:tc>
          <w:tcPr>
            <w:tcW w:w="1021" w:type="dxa"/>
            <w:tcBorders>
              <w:left w:val="nil"/>
              <w:bottom w:val="nil"/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619" w:type="dxa"/>
            <w:gridSpan w:val="4"/>
            <w:tcBorders>
              <w:left w:val="thickThinSmallGap" w:sz="24" w:space="0" w:color="auto"/>
              <w:bottom w:val="nil"/>
              <w:right w:val="single" w:sz="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Valoarea impozabilă </w:t>
            </w:r>
          </w:p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- lei/mp/an -</w:t>
            </w:r>
          </w:p>
        </w:tc>
      </w:tr>
      <w:tr w:rsidR="00E15E7D" w:rsidRPr="00CA6900" w:rsidTr="00FB10A0">
        <w:trPr>
          <w:cantSplit/>
          <w:trHeight w:val="794"/>
        </w:trPr>
        <w:tc>
          <w:tcPr>
            <w:tcW w:w="5387" w:type="dxa"/>
            <w:vMerge/>
            <w:tcBorders>
              <w:right w:val="nil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9" w:type="dxa"/>
            <w:gridSpan w:val="2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Nive</w:t>
            </w:r>
            <w:r w:rsidR="002E270D"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l</w:t>
            </w:r>
            <w:r w:rsidR="00C73E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urile stabilite pentru anul 2025</w:t>
            </w:r>
          </w:p>
        </w:tc>
        <w:tc>
          <w:tcPr>
            <w:tcW w:w="312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E15E7D" w:rsidRPr="00CA6900" w:rsidRDefault="001663D1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Nivelurile propuse</w:t>
            </w:r>
            <w:r w:rsidR="00B01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</w:p>
          <w:p w:rsidR="00E15E7D" w:rsidRPr="00CA6900" w:rsidRDefault="00C73EC7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pentru anul 2026</w:t>
            </w:r>
          </w:p>
        </w:tc>
      </w:tr>
      <w:tr w:rsidR="00E15E7D" w:rsidRPr="00CA6900" w:rsidTr="00FB10A0"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940" w:type="dxa"/>
            <w:tcBorders>
              <w:lef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instalaţii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de apă, canalizare, electrice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încălzire (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condiţii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cumulative)**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Fără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instalaţii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de apă, canalizare, electrice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încălzire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instalaţii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de apă, canalizare, electrice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încălzire (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condiţii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cumulative)**</w:t>
            </w:r>
          </w:p>
        </w:tc>
        <w:tc>
          <w:tcPr>
            <w:tcW w:w="1560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Fără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instalaţii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de apă, canalizare, electrice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încălzire</w:t>
            </w:r>
          </w:p>
        </w:tc>
      </w:tr>
      <w:tr w:rsidR="00E15E7D" w:rsidRPr="00CA6900" w:rsidTr="00FB10A0"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ro-RO"/>
              </w:rPr>
              <w:t>0</w:t>
            </w:r>
          </w:p>
        </w:tc>
        <w:tc>
          <w:tcPr>
            <w:tcW w:w="3940" w:type="dxa"/>
            <w:tcBorders>
              <w:lef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560" w:type="dxa"/>
          </w:tcPr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C73EC7" w:rsidRPr="00CA6900" w:rsidTr="00FB10A0">
        <w:trPr>
          <w:trHeight w:val="668"/>
        </w:trPr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C73EC7" w:rsidRPr="00CA6900" w:rsidRDefault="00C73EC7" w:rsidP="00C73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A. Clădire cu cadre din beton armat sau 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pereţi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exteriori din cărămidă arsă sau din orice alte materiale rezultate în urma unui tratament termic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/sau chimic</w:t>
            </w:r>
          </w:p>
        </w:tc>
        <w:tc>
          <w:tcPr>
            <w:tcW w:w="394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1505</w:t>
            </w:r>
          </w:p>
        </w:tc>
        <w:tc>
          <w:tcPr>
            <w:tcW w:w="1559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875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1589</w:t>
            </w:r>
          </w:p>
        </w:tc>
        <w:tc>
          <w:tcPr>
            <w:tcW w:w="1560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924</w:t>
            </w:r>
          </w:p>
        </w:tc>
      </w:tr>
      <w:tr w:rsidR="00C73EC7" w:rsidRPr="00CA6900" w:rsidTr="00FB10A0">
        <w:trPr>
          <w:trHeight w:val="732"/>
        </w:trPr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C73EC7" w:rsidRPr="00CA6900" w:rsidRDefault="00C73EC7" w:rsidP="00C73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B. Clădire 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pereţii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exteriori din lemn, din piatră naturală, din cărămidă nearsă, din vălătuci sau din orice alte materiale nesupuse unui tratament termic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/sau chimic</w:t>
            </w:r>
          </w:p>
        </w:tc>
        <w:tc>
          <w:tcPr>
            <w:tcW w:w="394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437</w:t>
            </w:r>
          </w:p>
        </w:tc>
        <w:tc>
          <w:tcPr>
            <w:tcW w:w="1559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293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461</w:t>
            </w:r>
          </w:p>
        </w:tc>
        <w:tc>
          <w:tcPr>
            <w:tcW w:w="1560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309</w:t>
            </w:r>
          </w:p>
        </w:tc>
      </w:tr>
      <w:tr w:rsidR="00C73EC7" w:rsidRPr="00CA6900" w:rsidTr="00FB10A0">
        <w:trPr>
          <w:trHeight w:val="675"/>
        </w:trPr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C73EC7" w:rsidRPr="00CA6900" w:rsidRDefault="00C73EC7" w:rsidP="00C73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C. Clădire-anexă cu cadre din beton armat sau 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pereţi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exteriori din cărămidă arsă sau din orice alte materiale rezultate în urma unui tratament termic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/sau chimic</w:t>
            </w:r>
          </w:p>
        </w:tc>
        <w:tc>
          <w:tcPr>
            <w:tcW w:w="394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293</w:t>
            </w:r>
          </w:p>
        </w:tc>
        <w:tc>
          <w:tcPr>
            <w:tcW w:w="1559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255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309</w:t>
            </w:r>
          </w:p>
        </w:tc>
        <w:tc>
          <w:tcPr>
            <w:tcW w:w="1560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269</w:t>
            </w:r>
          </w:p>
        </w:tc>
      </w:tr>
      <w:tr w:rsidR="00C73EC7" w:rsidRPr="00CA6900" w:rsidTr="00FB10A0">
        <w:trPr>
          <w:trHeight w:val="698"/>
        </w:trPr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C73EC7" w:rsidRPr="00CA6900" w:rsidRDefault="00C73EC7" w:rsidP="00C73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D. Clădire-anexă cu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pereţii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exteriori din lemn, din piatră naturală, din cărămidă nearsă, din vălătuci sau din orice alte materiale nesupuse unui tratament termic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/sau chimic</w:t>
            </w:r>
          </w:p>
        </w:tc>
        <w:tc>
          <w:tcPr>
            <w:tcW w:w="394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177</w:t>
            </w:r>
          </w:p>
        </w:tc>
        <w:tc>
          <w:tcPr>
            <w:tcW w:w="1559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107</w:t>
            </w:r>
          </w:p>
        </w:tc>
        <w:tc>
          <w:tcPr>
            <w:tcW w:w="1560" w:type="dxa"/>
            <w:tcBorders>
              <w:left w:val="thinThickSmallGap" w:sz="24" w:space="0" w:color="auto"/>
            </w:tcBorders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187</w:t>
            </w:r>
          </w:p>
        </w:tc>
        <w:tc>
          <w:tcPr>
            <w:tcW w:w="1560" w:type="dxa"/>
            <w:vAlign w:val="center"/>
          </w:tcPr>
          <w:p w:rsidR="00C73EC7" w:rsidRPr="00731C5C" w:rsidRDefault="00C73EC7" w:rsidP="00C73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ro-RO"/>
              </w:rPr>
              <w:t>113</w:t>
            </w:r>
            <w:bookmarkStart w:id="0" w:name="_GoBack"/>
            <w:bookmarkEnd w:id="0"/>
          </w:p>
        </w:tc>
      </w:tr>
      <w:tr w:rsidR="00E15E7D" w:rsidRPr="00CA6900" w:rsidTr="00FB10A0"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E. În cazul contribuabilului  care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deţine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 la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aceeaşi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 adresă  încăperi amplasate la subsol, la demisol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/sau la mansardă, utilizate ca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locuinţă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, în oricare dintre tipurile de clădiri prevăzute la lit.    A - D</w:t>
            </w:r>
          </w:p>
        </w:tc>
        <w:tc>
          <w:tcPr>
            <w:tcW w:w="5499" w:type="dxa"/>
            <w:gridSpan w:val="2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75% din suma care s-ar aplica clădirii</w:t>
            </w:r>
          </w:p>
        </w:tc>
        <w:tc>
          <w:tcPr>
            <w:tcW w:w="3120" w:type="dxa"/>
            <w:gridSpan w:val="2"/>
            <w:tcBorders>
              <w:left w:val="thinThickSmallGap" w:sz="24" w:space="0" w:color="auto"/>
            </w:tcBorders>
            <w:vAlign w:val="center"/>
          </w:tcPr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75% din suma care s-ar aplica clădirii</w:t>
            </w:r>
          </w:p>
        </w:tc>
      </w:tr>
      <w:tr w:rsidR="00E15E7D" w:rsidRPr="00CA6900" w:rsidTr="00FB10A0">
        <w:trPr>
          <w:trHeight w:val="895"/>
        </w:trPr>
        <w:tc>
          <w:tcPr>
            <w:tcW w:w="6408" w:type="dxa"/>
            <w:gridSpan w:val="2"/>
            <w:tcBorders>
              <w:right w:val="thickThinSmallGap" w:sz="24" w:space="0" w:color="auto"/>
            </w:tcBorders>
          </w:tcPr>
          <w:p w:rsidR="00E15E7D" w:rsidRPr="00CA6900" w:rsidRDefault="00E15E7D" w:rsidP="00E8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F. În cazul contribuabilului care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deţine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 la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aceeaşi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 adresă încăperi amplasate la subsol, la demisol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/sau la mansardă, utilizate în alte scopuri decât cel de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locuinţă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, în oricare dintre tipurile de clădiri  prevăzute la lit. A - D</w:t>
            </w:r>
          </w:p>
        </w:tc>
        <w:tc>
          <w:tcPr>
            <w:tcW w:w="5499" w:type="dxa"/>
            <w:gridSpan w:val="2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50 %</w:t>
            </w: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>din suma care s-ar aplica clădirii</w:t>
            </w:r>
          </w:p>
        </w:tc>
        <w:tc>
          <w:tcPr>
            <w:tcW w:w="3120" w:type="dxa"/>
            <w:gridSpan w:val="2"/>
            <w:tcBorders>
              <w:left w:val="thinThickSmallGap" w:sz="24" w:space="0" w:color="auto"/>
            </w:tcBorders>
            <w:vAlign w:val="center"/>
          </w:tcPr>
          <w:p w:rsidR="00E15E7D" w:rsidRPr="00CA6900" w:rsidRDefault="00E15E7D" w:rsidP="00E8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50 %</w:t>
            </w:r>
            <w:r w:rsidRPr="00CA69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/>
              </w:rPr>
              <w:t xml:space="preserve"> din suma care s-ar aplica clădirii</w:t>
            </w:r>
          </w:p>
        </w:tc>
      </w:tr>
    </w:tbl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* Pentru determinarea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suprafeţei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construite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desfăşurate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, în cazul clădirilor care nu pot fi efectiv măsurate pe conturul exterior, asupra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suprafeţei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utile se aplică coeficientul de transformare de 1,40.</w:t>
      </w:r>
    </w:p>
    <w:p w:rsidR="00E15E7D" w:rsidRPr="00CA6900" w:rsidRDefault="00E15E7D" w:rsidP="00E15E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** În cazurile în care nu sunt întrunite cumulativ aceste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condiţii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se vor utiliza valorile impozabile, în lei/mp, înscrise în coloanele 2, respectiv 4.</w:t>
      </w:r>
    </w:p>
    <w:p w:rsidR="00E15E7D" w:rsidRPr="00CA6900" w:rsidRDefault="00E15E7D" w:rsidP="00E15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*** În cazul unei clădiri care are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pereţii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exteriori din materiale diferite, pentru stabilirea valorii impozabile a clădirii se identifică în tabelul de mai sus valoarea impozabilă cea mai mare corespunzătoare materialului cu ponderea cea mai mare.</w:t>
      </w: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NOTĂ: </w:t>
      </w:r>
    </w:p>
    <w:p w:rsidR="00E15E7D" w:rsidRPr="00CA6900" w:rsidRDefault="00E15E7D" w:rsidP="00E15E7D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Pentru determinarea valorii impozabile a clădirii pe ranguri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localităţi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zone în care este amplasată clădirea, la nivelurile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menţionate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prezenta anexă se va aplica coeficientul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corecţie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corespunzător, prevăzut în tabelul următor:</w:t>
      </w: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2551"/>
        <w:gridCol w:w="1418"/>
        <w:gridCol w:w="1234"/>
      </w:tblGrid>
      <w:tr w:rsidR="00E15E7D" w:rsidRPr="00CA6900" w:rsidTr="00E83A18">
        <w:trPr>
          <w:cantSplit/>
          <w:jc w:val="center"/>
        </w:trPr>
        <w:tc>
          <w:tcPr>
            <w:tcW w:w="3319" w:type="dxa"/>
            <w:vMerge w:val="restart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2551" w:type="dxa"/>
            <w:vMerge w:val="restart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Zona din cadrul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localităţii</w:t>
            </w:r>
            <w:proofErr w:type="spellEnd"/>
          </w:p>
        </w:tc>
        <w:tc>
          <w:tcPr>
            <w:tcW w:w="2652" w:type="dxa"/>
            <w:gridSpan w:val="2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Rangul </w:t>
            </w: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localităţii</w:t>
            </w:r>
            <w:proofErr w:type="spellEnd"/>
          </w:p>
        </w:tc>
      </w:tr>
      <w:tr w:rsidR="00E15E7D" w:rsidRPr="00CA6900" w:rsidTr="00E83A18">
        <w:trPr>
          <w:cantSplit/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IV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V</w:t>
            </w:r>
          </w:p>
        </w:tc>
      </w:tr>
      <w:tr w:rsidR="00E15E7D" w:rsidRPr="00CA6900" w:rsidTr="00E83A18">
        <w:trPr>
          <w:jc w:val="center"/>
        </w:trPr>
        <w:tc>
          <w:tcPr>
            <w:tcW w:w="3319" w:type="dxa"/>
            <w:vMerge w:val="restart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  Milaș</w:t>
            </w: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1,10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E15E7D" w:rsidRPr="00CA6900" w:rsidTr="00E83A18">
        <w:trPr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B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1,05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E15E7D" w:rsidRPr="00CA6900" w:rsidTr="00E83A18">
        <w:trPr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E15E7D" w:rsidRPr="00CA6900" w:rsidTr="00E83A18">
        <w:trPr>
          <w:trHeight w:val="255"/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0,95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E15E7D" w:rsidRPr="00CA6900" w:rsidTr="00E83A18">
        <w:trPr>
          <w:trHeight w:val="225"/>
          <w:jc w:val="center"/>
        </w:trPr>
        <w:tc>
          <w:tcPr>
            <w:tcW w:w="3319" w:type="dxa"/>
            <w:vMerge w:val="restart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Orosfaia,Comlod,Ghemeș,Hirean</w:t>
            </w:r>
            <w:proofErr w:type="spellEnd"/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și După Deal</w:t>
            </w: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1,05</w:t>
            </w:r>
          </w:p>
        </w:tc>
      </w:tr>
      <w:tr w:rsidR="00E15E7D" w:rsidRPr="00CA6900" w:rsidTr="00E83A18">
        <w:trPr>
          <w:trHeight w:val="225"/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B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</w:tr>
      <w:tr w:rsidR="00E15E7D" w:rsidRPr="00CA6900" w:rsidTr="00E83A18">
        <w:trPr>
          <w:trHeight w:val="150"/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0,95</w:t>
            </w:r>
          </w:p>
        </w:tc>
      </w:tr>
      <w:tr w:rsidR="00E15E7D" w:rsidRPr="00CA6900" w:rsidTr="00E83A18">
        <w:trPr>
          <w:trHeight w:val="135"/>
          <w:jc w:val="center"/>
        </w:trPr>
        <w:tc>
          <w:tcPr>
            <w:tcW w:w="3319" w:type="dxa"/>
            <w:vMerge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D</w:t>
            </w:r>
          </w:p>
        </w:tc>
        <w:tc>
          <w:tcPr>
            <w:tcW w:w="1418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234" w:type="dxa"/>
          </w:tcPr>
          <w:p w:rsidR="00E15E7D" w:rsidRPr="00CA6900" w:rsidRDefault="00E15E7D" w:rsidP="00E83A18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A6900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0,90</w:t>
            </w:r>
          </w:p>
        </w:tc>
      </w:tr>
    </w:tbl>
    <w:p w:rsidR="00E15E7D" w:rsidRPr="00CA6900" w:rsidRDefault="00E15E7D" w:rsidP="00E15E7D">
      <w:pPr>
        <w:spacing w:after="0" w:line="240" w:lineRule="auto"/>
        <w:ind w:right="-90"/>
        <w:jc w:val="center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E15E7D" w:rsidRPr="00CA6900" w:rsidRDefault="00E15E7D" w:rsidP="00E15E7D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Zonele A, B, C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 din prezenta anexă corespund zonelor A, B, C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 de fiscalitate stabilite prin Hotă</w:t>
      </w:r>
      <w:r w:rsidR="00350DD5">
        <w:rPr>
          <w:rFonts w:ascii="Times New Roman" w:eastAsia="Times New Roman" w:hAnsi="Times New Roman" w:cs="Times New Roman"/>
          <w:sz w:val="20"/>
          <w:szCs w:val="20"/>
          <w:lang w:val="ro-RO"/>
        </w:rPr>
        <w:t>rârea Consiliului local al MILAȘ</w:t>
      </w:r>
      <w:r w:rsidR="00B15FF5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nr. 26</w:t>
      </w: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/2009 privind încadrarea pe zone de fiscalitate a teritoriulu</w:t>
      </w:r>
      <w:r w:rsidR="00350DD5">
        <w:rPr>
          <w:rFonts w:ascii="Times New Roman" w:eastAsia="Times New Roman" w:hAnsi="Times New Roman" w:cs="Times New Roman"/>
          <w:sz w:val="20"/>
          <w:szCs w:val="20"/>
          <w:lang w:val="ro-RO"/>
        </w:rPr>
        <w:t>i administrativ al comunei Milaș</w:t>
      </w: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;</w:t>
      </w:r>
    </w:p>
    <w:p w:rsidR="00E15E7D" w:rsidRPr="00CA6900" w:rsidRDefault="00E15E7D" w:rsidP="00E15E7D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Valoarea impozabilă a clădirii se reduce în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funcţie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 anul terminării acesteia, după cum urmează:</w:t>
      </w:r>
    </w:p>
    <w:p w:rsidR="00E15E7D" w:rsidRPr="00CA6900" w:rsidRDefault="00E15E7D" w:rsidP="00E15E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  a) cu 50 %, pentru clădirea care are o vechime de peste 100 de ani la data de 1 ianuarie a anului fiscal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referinţă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;</w:t>
      </w:r>
    </w:p>
    <w:p w:rsidR="00E15E7D" w:rsidRPr="00CA6900" w:rsidRDefault="00E15E7D" w:rsidP="00E15E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  b) cu 30 %, pentru clădirea care are o vechime cuprinsă între 50 de ani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100 de ani inclusiv, la data de 1 ianuarie a anului fiscal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referinţă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</w:p>
    <w:p w:rsidR="00E15E7D" w:rsidRPr="00CA6900" w:rsidRDefault="00E15E7D" w:rsidP="00E15E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   c) cu 10 %, pentru clădirea care are o vechime cuprinsă între 30 de ani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50 de ani inclusiv, la data de 1 ianuarie a anului fiscal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referinţă</w:t>
      </w:r>
      <w:proofErr w:type="spellEnd"/>
    </w:p>
    <w:p w:rsidR="00E15E7D" w:rsidRPr="00CA6900" w:rsidRDefault="00E15E7D" w:rsidP="00E15E7D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cazul clădirii la care au fost executate lucrări de renovare majoră, din punct de vedere fiscal, anul terminării se actualizează, astfel că acesta se consideră ca fiind cel în care a fost efectuată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recepţia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la terminarea lucrărilor. Renovarea majoră reprezintă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acţiunea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complexă care cuprinde obligatoriu lucrări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intervenţie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la structura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rezistenţă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 clădirii, pentru asigurarea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cerinţei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fundamentale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rezistenţă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mecanică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stabilitate, prin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acţiuni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 reconstruire, consolidare, modernizare, modificare sau extindere, precum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, după caz, alte lucrări de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intervenţie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pentru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menţinerea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, pe întreaga durată de exploatare a clădirii, a celorlalte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cerinţe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fundamentale aplicabile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construcţiilor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, conform legii, vizând, în principal,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creşterea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performanţei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energetice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calităţii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arhitectural-ambientale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şi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funcţionale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 clădirii. Anul terminării se actualizează în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condiţiile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care, la terminarea lucrărilor de renovare majoră, valoarea clădirii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creşte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cu cel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puţin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50 % </w:t>
      </w:r>
      <w:proofErr w:type="spellStart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>faţă</w:t>
      </w:r>
      <w:proofErr w:type="spellEnd"/>
      <w:r w:rsidRPr="00CA690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 valoarea acesteia la data începerii executării lucrărilor.</w:t>
      </w:r>
    </w:p>
    <w:p w:rsidR="00E15E7D" w:rsidRPr="00CA6900" w:rsidRDefault="00E15E7D" w:rsidP="00E15E7D">
      <w:pPr>
        <w:spacing w:after="0" w:line="240" w:lineRule="auto"/>
        <w:ind w:right="-9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D872C8" w:rsidRPr="0025450E" w:rsidRDefault="00D872C8" w:rsidP="00D872C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F8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D872C8" w:rsidRPr="0025450E" w:rsidRDefault="00D872C8" w:rsidP="00D872C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PRIMAR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A1113">
        <w:rPr>
          <w:rFonts w:ascii="Times New Roman" w:hAnsi="Times New Roman" w:cs="Times New Roman"/>
          <w:b/>
          <w:sz w:val="24"/>
          <w:szCs w:val="24"/>
        </w:rPr>
        <w:t>p.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450E">
        <w:rPr>
          <w:rFonts w:ascii="Times New Roman" w:hAnsi="Times New Roman" w:cs="Times New Roman"/>
          <w:b/>
          <w:sz w:val="24"/>
          <w:szCs w:val="24"/>
        </w:rPr>
        <w:t>SECRETAR GENERAL</w:t>
      </w:r>
    </w:p>
    <w:p w:rsidR="00D872C8" w:rsidRPr="0025450E" w:rsidRDefault="00D872C8" w:rsidP="00D872C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Gabriel Emil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Gabriela </w:t>
      </w:r>
      <w:r>
        <w:rPr>
          <w:rFonts w:ascii="Times New Roman" w:hAnsi="Times New Roman" w:cs="Times New Roman"/>
          <w:b/>
          <w:sz w:val="24"/>
          <w:szCs w:val="24"/>
        </w:rPr>
        <w:t xml:space="preserve">–Monica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</w:p>
    <w:p w:rsidR="00D872C8" w:rsidRPr="0025450E" w:rsidRDefault="00D872C8" w:rsidP="00D872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</w:t>
      </w:r>
    </w:p>
    <w:p w:rsidR="001F496D" w:rsidRPr="00CA6900" w:rsidRDefault="001F496D" w:rsidP="001F496D">
      <w:pPr>
        <w:pStyle w:val="Frspaiere"/>
        <w:jc w:val="both"/>
        <w:rPr>
          <w:rFonts w:ascii="Times New Roman" w:hAnsi="Times New Roman" w:cs="Times New Roman"/>
          <w:sz w:val="20"/>
          <w:szCs w:val="20"/>
        </w:rPr>
      </w:pPr>
    </w:p>
    <w:p w:rsidR="001F496D" w:rsidRPr="00A74F87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F496D" w:rsidRPr="00A74F87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496D" w:rsidRPr="00A74F87" w:rsidRDefault="001F496D" w:rsidP="001F496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3E54DD" w:rsidRPr="00CA6900" w:rsidRDefault="003E54DD">
      <w:pPr>
        <w:rPr>
          <w:rFonts w:ascii="Times New Roman" w:hAnsi="Times New Roman" w:cs="Times New Roman"/>
          <w:sz w:val="20"/>
          <w:szCs w:val="20"/>
        </w:rPr>
      </w:pPr>
    </w:p>
    <w:sectPr w:rsidR="003E54DD" w:rsidRPr="00CA6900" w:rsidSect="00D16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CC8" w:rsidRDefault="00960CC8" w:rsidP="00D16896">
      <w:pPr>
        <w:spacing w:after="0" w:line="240" w:lineRule="auto"/>
      </w:pPr>
      <w:r>
        <w:separator/>
      </w:r>
    </w:p>
  </w:endnote>
  <w:endnote w:type="continuationSeparator" w:id="0">
    <w:p w:rsidR="00960CC8" w:rsidRDefault="00960CC8" w:rsidP="00D1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D16896" w:rsidP="005818B1">
    <w:pPr>
      <w:pStyle w:val="Subsol"/>
    </w:pPr>
    <w:bookmarkStart w:id="3" w:name="aliashFooter1FooterEvenPages"/>
  </w:p>
  <w:bookmarkEnd w:id="3"/>
  <w:p w:rsidR="00D16896" w:rsidRDefault="00D16896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D16896" w:rsidP="005818B1">
    <w:pPr>
      <w:pStyle w:val="Subsol"/>
    </w:pPr>
    <w:bookmarkStart w:id="4" w:name="aliashFooter1FooterPrimary"/>
  </w:p>
  <w:bookmarkEnd w:id="4"/>
  <w:p w:rsidR="00D16896" w:rsidRDefault="00D16896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D16896" w:rsidP="005818B1">
    <w:pPr>
      <w:pStyle w:val="Subsol"/>
    </w:pPr>
    <w:bookmarkStart w:id="6" w:name="aliashFooter1FooterFirstPage"/>
  </w:p>
  <w:bookmarkEnd w:id="6"/>
  <w:p w:rsidR="00D16896" w:rsidRDefault="00D1689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CC8" w:rsidRDefault="00960CC8" w:rsidP="00D16896">
      <w:pPr>
        <w:spacing w:after="0" w:line="240" w:lineRule="auto"/>
      </w:pPr>
      <w:r>
        <w:separator/>
      </w:r>
    </w:p>
  </w:footnote>
  <w:footnote w:type="continuationSeparator" w:id="0">
    <w:p w:rsidR="00960CC8" w:rsidRDefault="00960CC8" w:rsidP="00D1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5818B1" w:rsidP="005818B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D16896" w:rsidRDefault="00D16896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5818B1" w:rsidP="005818B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D16896" w:rsidRDefault="00D16896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96" w:rsidRDefault="005818B1" w:rsidP="005818B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D16896" w:rsidRDefault="00D16896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9528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51"/>
    <w:rsid w:val="00037C68"/>
    <w:rsid w:val="000526A0"/>
    <w:rsid w:val="00057FD3"/>
    <w:rsid w:val="000A64C6"/>
    <w:rsid w:val="001018B8"/>
    <w:rsid w:val="001261DD"/>
    <w:rsid w:val="0012645C"/>
    <w:rsid w:val="001663D1"/>
    <w:rsid w:val="001738CD"/>
    <w:rsid w:val="0019060F"/>
    <w:rsid w:val="001F496D"/>
    <w:rsid w:val="00256077"/>
    <w:rsid w:val="002801EE"/>
    <w:rsid w:val="002D3F8F"/>
    <w:rsid w:val="002E270D"/>
    <w:rsid w:val="00350DD5"/>
    <w:rsid w:val="003D4A1F"/>
    <w:rsid w:val="003E54DD"/>
    <w:rsid w:val="003F43A7"/>
    <w:rsid w:val="004068E0"/>
    <w:rsid w:val="004B3DDC"/>
    <w:rsid w:val="00542F88"/>
    <w:rsid w:val="00573AEB"/>
    <w:rsid w:val="005818B1"/>
    <w:rsid w:val="005F285A"/>
    <w:rsid w:val="006009CA"/>
    <w:rsid w:val="006952F8"/>
    <w:rsid w:val="00722F66"/>
    <w:rsid w:val="00731C5C"/>
    <w:rsid w:val="00743E8A"/>
    <w:rsid w:val="00753B73"/>
    <w:rsid w:val="0077547D"/>
    <w:rsid w:val="007E1804"/>
    <w:rsid w:val="007F3CE1"/>
    <w:rsid w:val="00891051"/>
    <w:rsid w:val="008D7651"/>
    <w:rsid w:val="00921CF1"/>
    <w:rsid w:val="0092544E"/>
    <w:rsid w:val="009404C0"/>
    <w:rsid w:val="00960CC8"/>
    <w:rsid w:val="009A6F06"/>
    <w:rsid w:val="009B3E28"/>
    <w:rsid w:val="009E337A"/>
    <w:rsid w:val="009E3C98"/>
    <w:rsid w:val="009F103B"/>
    <w:rsid w:val="009F1859"/>
    <w:rsid w:val="00A13B05"/>
    <w:rsid w:val="00A67CBF"/>
    <w:rsid w:val="00AE3AE3"/>
    <w:rsid w:val="00B01E13"/>
    <w:rsid w:val="00B15FF5"/>
    <w:rsid w:val="00BB453A"/>
    <w:rsid w:val="00BC21A0"/>
    <w:rsid w:val="00C00F61"/>
    <w:rsid w:val="00C10E07"/>
    <w:rsid w:val="00C73EC7"/>
    <w:rsid w:val="00C872B7"/>
    <w:rsid w:val="00CA4C07"/>
    <w:rsid w:val="00CA6900"/>
    <w:rsid w:val="00D16896"/>
    <w:rsid w:val="00D872C8"/>
    <w:rsid w:val="00E076B4"/>
    <w:rsid w:val="00E15E7D"/>
    <w:rsid w:val="00E324EF"/>
    <w:rsid w:val="00E6755E"/>
    <w:rsid w:val="00E84178"/>
    <w:rsid w:val="00EC1521"/>
    <w:rsid w:val="00EE5328"/>
    <w:rsid w:val="00F2164B"/>
    <w:rsid w:val="00F40363"/>
    <w:rsid w:val="00F70ADC"/>
    <w:rsid w:val="00FA1113"/>
    <w:rsid w:val="00FB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14799-4927-4590-ABF0-CDCE8EB1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E7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1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16896"/>
  </w:style>
  <w:style w:type="paragraph" w:styleId="Subsol">
    <w:name w:val="footer"/>
    <w:basedOn w:val="Normal"/>
    <w:link w:val="SubsolCaracter"/>
    <w:uiPriority w:val="99"/>
    <w:unhideWhenUsed/>
    <w:rsid w:val="00D1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16896"/>
  </w:style>
  <w:style w:type="paragraph" w:styleId="Frspaiere">
    <w:name w:val="No Spacing"/>
    <w:uiPriority w:val="1"/>
    <w:qFormat/>
    <w:rsid w:val="00E15E7D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43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3E8A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1F4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2024-01-22T15:22:00Z</cp:lastPrinted>
  <dcterms:created xsi:type="dcterms:W3CDTF">2025-11-25T12:45:00Z</dcterms:created>
  <dcterms:modified xsi:type="dcterms:W3CDTF">2025-11-25T12:45:00Z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36b97660-5640-450b-ae12-26b8793af7b5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